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outlineLvl w:val="1"/>
      </w:pPr>
      <w:r>
        <w:t>Р</w:t>
      </w:r>
      <w:r>
        <w:t>уководство по соблюдению</w:t>
      </w:r>
    </w:p>
    <w:p w14:paraId="02000000">
      <w:pPr>
        <w:pStyle w:val="Style_1"/>
        <w:ind/>
        <w:jc w:val="center"/>
      </w:pPr>
      <w:r>
        <w:t>обязательных требований</w:t>
      </w:r>
      <w:r>
        <w:t xml:space="preserve"> в области защиты населения от чрезвычайных ситуаций</w:t>
      </w:r>
    </w:p>
    <w:p w14:paraId="03000000">
      <w:pPr>
        <w:pStyle w:val="Style_2"/>
        <w:ind/>
        <w:jc w:val="both"/>
      </w:pPr>
    </w:p>
    <w:p w14:paraId="04000000">
      <w:pPr>
        <w:pStyle w:val="Style_2"/>
        <w:ind w:firstLine="540"/>
        <w:jc w:val="both"/>
      </w:pPr>
      <w:r>
        <w:t xml:space="preserve">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"consultantplus://offline/ref=FE40933277E199F57D5AA3ABEF5E3B6017564A7E1DECB9AC8A8142FDABCDF26D07DF977F40D167D6A9C74DAA0Af9n9M"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постановлениям</w:t>
      </w:r>
      <w:r>
        <w:rPr>
          <w:color w:val="0000FF"/>
        </w:rPr>
        <w:fldChar w:fldCharType="end"/>
      </w:r>
      <w:r>
        <w:t xml:space="preserve"> Правительства Российской Федерации от 17.08.2016 N 806 "О применении </w:t>
      </w:r>
      <w:r>
        <w:t>риск-ориентированного</w:t>
      </w:r>
      <w:r>
        <w:t xml:space="preserve"> подхода при организации отдельных видов государственного контроля (надзора) и внесении изменений в некоторые акты" (в редакции постановления Правительства Российской Федерации от 02.03.2017 N 245) и </w:t>
      </w:r>
      <w:r>
        <w:t>Положению о федеральном государственном надзоре в области защиты населения и территорий от чрезвычайных ситуаций</w:t>
      </w:r>
      <w:r>
        <w:t xml:space="preserve">, утвержденное </w:t>
      </w:r>
      <w:r>
        <w:t xml:space="preserve">Постановлением Правительства РФ от 25.06.2021 N 1013 </w:t>
      </w:r>
      <w:r>
        <w:t xml:space="preserve">"О федеральном государственном надзоре в области защиты населения и территорий от чрезвычайных ситуаций", </w:t>
      </w:r>
      <w:r>
        <w:t xml:space="preserve"> федеральный государственный надзор в области защиты населения и территорий от чрезвычайных ситуаций осуществляется с применением </w:t>
      </w:r>
      <w:r>
        <w:t>риск-ориентированного</w:t>
      </w:r>
      <w:r>
        <w:t xml:space="preserve"> подхода.</w:t>
      </w:r>
    </w:p>
    <w:p w14:paraId="05000000">
      <w:pPr>
        <w:pStyle w:val="Style_2"/>
        <w:spacing w:before="220"/>
        <w:ind w:firstLine="540"/>
        <w:jc w:val="both"/>
      </w:pPr>
      <w:r>
        <w:t xml:space="preserve">Указанным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"consultantplus://offline/ref=FE40933277E199F57D5AA3ABEF5E3B6016524A7717EEB9AC8A8142FDABCDF26D15DFCF7340D679D6AAD21BFB4CCC1DF108E9BA0562CB6D99f1n8M"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предусмотрены критерии отнесения к категориям риска поднадзорных объектов, критерии по изменению (повышению/понижению) присвоенных ранее объектам надзора категорий риска, а также обязательность применения проверочных листов при осуществлении указанных надзорных функций.</w:t>
      </w:r>
    </w:p>
    <w:p w14:paraId="06000000">
      <w:pPr>
        <w:pStyle w:val="Style_2"/>
        <w:spacing w:before="220"/>
        <w:ind w:firstLine="540"/>
        <w:jc w:val="both"/>
      </w:pPr>
      <w:r>
        <w:t>Так, плановые проверки в области защиты населения и территорий от чрезвычайных ситуаций осуществляются исключительно в отношении:</w:t>
      </w:r>
    </w:p>
    <w:p w14:paraId="07000000">
      <w:pPr>
        <w:pStyle w:val="Style_2"/>
        <w:spacing w:before="220"/>
        <w:ind w:firstLine="540"/>
        <w:jc w:val="both"/>
      </w:pPr>
      <w:r>
        <w:t>организаций, создающих функциональные подсистемы единой государственной системы предупреждения и ликвидации чрезвычайных ситуаций;</w:t>
      </w:r>
    </w:p>
    <w:p w14:paraId="08000000">
      <w:pPr>
        <w:pStyle w:val="Style_2"/>
        <w:spacing w:before="220"/>
        <w:ind w:firstLine="540"/>
        <w:jc w:val="both"/>
      </w:pPr>
      <w:r>
        <w:t>юридических лиц и индивидуальных предпринимателей, если эти юридические лица (их структурные подразделения) и индивидуальные предприниматели или находящиеся в их ведении организации и структурные подразделения этих организаций включены (входят) в установленном порядке в состав сил функциональных подсистем единой государственной системы предупреждения и ликвидации чрезвычайных ситуаций;</w:t>
      </w:r>
    </w:p>
    <w:p w14:paraId="09000000">
      <w:pPr>
        <w:pStyle w:val="Style_2"/>
        <w:spacing w:before="220"/>
        <w:ind w:firstLine="540"/>
        <w:jc w:val="both"/>
      </w:pPr>
      <w:r>
        <w:t>юридических лиц и индивидуальных предпринимателей, эксплуатирующих потенциально опасные объекты;</w:t>
      </w:r>
    </w:p>
    <w:p w14:paraId="0A000000">
      <w:pPr>
        <w:pStyle w:val="Style_2"/>
        <w:spacing w:before="220"/>
        <w:ind w:firstLine="540"/>
        <w:jc w:val="both"/>
      </w:pPr>
      <w:r>
        <w:t>юридических лиц и индивидуальных предпринимателей, эксплуатирующих критически важные объекты.</w:t>
      </w:r>
    </w:p>
    <w:p w14:paraId="0B000000"/>
    <w:p w14:paraId="0C000000">
      <w:pPr>
        <w:ind w:firstLine="567" w:left="0"/>
        <w:jc w:val="both"/>
      </w:pPr>
      <w:r>
        <w:t xml:space="preserve">Приказом МЧС России от 04.02.2022 N 62 </w:t>
      </w:r>
      <w:r>
        <w:t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ситуаций"</w:t>
      </w:r>
      <w:r>
        <w:t>, установлена форма проверочного</w:t>
      </w:r>
      <w:r>
        <w:t xml:space="preserve"> листа (списка контрольных вопросов), </w:t>
      </w:r>
      <w:r>
        <w:t>применяемая</w:t>
      </w:r>
      <w:r>
        <w:t xml:space="preserve"> при осуществлении всех плановых проверок в отношении юридических лиц и индивидуальных предпринимателей.</w:t>
      </w:r>
    </w:p>
    <w:p w14:paraId="0D000000">
      <w:pPr>
        <w:pStyle w:val="Style_2"/>
        <w:spacing w:before="220"/>
        <w:ind w:firstLine="540"/>
        <w:jc w:val="both"/>
      </w:pPr>
      <w:r>
        <w:t xml:space="preserve">С учетом новых подходов к организации профилактической работы, установленных положениями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"consultantplus://offline/ref=FE40933277E199F57D5AA3ABEF5E3B6017514F7E14E9B9AC8A8142FDABCDF26D07DF977F40D167D6A9C74DAA0Af9n9M"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разработана Программа профилактики нарушений обязательных требований в области защиты населения и территорий от чрезвычайных ситуаций</w:t>
      </w:r>
      <w:r>
        <w:t xml:space="preserve"> природного и техногенного характера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объектах.</w:t>
      </w:r>
    </w:p>
    <w:p w14:paraId="0E000000">
      <w:pPr>
        <w:pStyle w:val="Style_2"/>
        <w:spacing w:before="220"/>
        <w:ind w:firstLine="540"/>
        <w:jc w:val="both"/>
      </w:pPr>
      <w:r>
        <w:t>Внесены изменения в законодательство о защите населения и территорий от чрезвычайных ситуаций и тем самым конкретизированы обязательные требования в области защиты населения и территорий от чрезвычайных ситуаций.</w:t>
      </w:r>
    </w:p>
    <w:p w14:paraId="0F000000">
      <w:pPr>
        <w:pStyle w:val="Style_2"/>
        <w:spacing w:before="220"/>
        <w:ind w:firstLine="540"/>
        <w:jc w:val="both"/>
      </w:pPr>
      <w:r>
        <w:t xml:space="preserve">Принят Федеральный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"consultantplus://offline/ref=FE40933277E199F57D5AA3ABEF5E3B601752437711EFB9AC8A8142FDABCDF26D07DF977F40D167D6A9C74DAA0Af9n9M"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от 3 июля 2019 г. N 159-ФЗ "О внесении изменений в Федеральный закон "О защите населения и территорий от чрезвычайных ситуаций природного и техногенного характера" и Федеральный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"consultantplus://offline/ref=FE40933277E199F57D5AA3ABEF5E3B601752437413EAB9AC8A8142FDABCDF26D07DF977F40D167D6A9C74DAA0Af9n9M"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"Об аварийно-спасательных службах и статусе спасателей", направленный на совершенствование системы управления единой государственной системы предупреждения и ликвидации ЧС.</w:t>
      </w:r>
    </w:p>
    <w:p w14:paraId="10000000">
      <w:pPr>
        <w:pStyle w:val="Style_2"/>
        <w:spacing w:before="220"/>
        <w:ind w:firstLine="540"/>
        <w:jc w:val="both"/>
      </w:pPr>
      <w:r>
        <w:t>Указанными Федеральными законами:</w:t>
      </w:r>
    </w:p>
    <w:p w14:paraId="11000000">
      <w:pPr>
        <w:pStyle w:val="Style_2"/>
        <w:spacing w:before="220"/>
        <w:ind w:firstLine="540"/>
        <w:jc w:val="both"/>
      </w:pPr>
      <w:r>
        <w:t>уточнены и упорядочены состав, полномочия и задачи органов управления единой государственной системы предупреждения и ликвидации чрезвычайных ситуаций;</w:t>
      </w:r>
    </w:p>
    <w:p w14:paraId="12000000">
      <w:pPr>
        <w:pStyle w:val="Style_2"/>
        <w:spacing w:before="220"/>
        <w:ind w:firstLine="540"/>
        <w:jc w:val="both"/>
      </w:pPr>
      <w:r>
        <w:t>уточнены условия установления и порядок принятия решений об установлении уровней реагирования на чрезвычайные ситуации;</w:t>
      </w:r>
    </w:p>
    <w:p w14:paraId="13000000">
      <w:pPr>
        <w:pStyle w:val="Style_2"/>
        <w:spacing w:before="220"/>
        <w:ind w:firstLine="540"/>
        <w:jc w:val="both"/>
      </w:pPr>
      <w:r>
        <w:t>уточнены полномочия Правительства Российской Федерации в области защиты населения и территорий от чрезвычайных ситуаций, а также соответствующие полномочия органов государственной власти субъектов Российской Федерации и органов местного самоуправления и задачи аварийно-спасательных служб, в том числе в части принятия решений об отнесении возникших чрезвычайных ситуаций к чрезвычайным ситуациям регионального, межмуниципального и муниципального характера, планирования действий по предупреждению и ликвидации чрезвычайных ситуаций;</w:t>
      </w:r>
    </w:p>
    <w:p w14:paraId="14000000">
      <w:pPr>
        <w:pStyle w:val="Style_2"/>
        <w:spacing w:before="220"/>
        <w:ind w:firstLine="540"/>
        <w:jc w:val="both"/>
      </w:pPr>
      <w:r>
        <w:t>предусмотрено возложение функций председателей комиссий по предупреждению и ликвидации чрезвычайных ситуаций и обеспечению пожарной безопасности субъектов Российской Федерации и муниципальных образований на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глав местных администраций соответственно.</w:t>
      </w:r>
    </w:p>
    <w:p w14:paraId="15000000">
      <w:pPr>
        <w:pStyle w:val="Style_2"/>
        <w:spacing w:before="220"/>
        <w:ind w:firstLine="540"/>
        <w:jc w:val="both"/>
      </w:pPr>
      <w:r>
        <w:t xml:space="preserve">В целях реализации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"consultantplus://offline/ref=FE40933277E199F57D5AA3ABEF5E3B601752437711EFB9AC8A8142FDABCDF26D07DF977F40D167D6A9C74DAA0Af9n9M"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3 июля 2019 г. N 159-ФЗ "О внесении изменений в Федеральный закон "О защите населения и территорий от чрезвычайных ситуаций природного и техногенного характера" и Федеральный закон "Об аварийно-спасательных службах и статусе спасателей" принято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"consultantplus://offline/ref=FE40933277E199F57D5AA3ABEF5E3B601754497216E8B9AC8A8142FDABCDF26D07DF977F40D167D6A9C74DAA0Af9n9M"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28.12.2019 N 1934 "О внесении изменений в некоторые акты Правительства Российской Федерации и признании утратившими</w:t>
      </w:r>
      <w:r>
        <w:t xml:space="preserve"> силу отдельных положений некоторых актов Правительства Российской Федерации".</w:t>
      </w:r>
    </w:p>
    <w:p w14:paraId="16000000">
      <w:pPr>
        <w:pStyle w:val="Style_2"/>
        <w:spacing w:before="220"/>
        <w:ind w:firstLine="540"/>
        <w:jc w:val="both"/>
      </w:pPr>
      <w:r>
        <w:t xml:space="preserve">Постановлением внесены изменения в части названия комиссий по предупреждению и </w:t>
      </w:r>
      <w:r>
        <w:t>ликвидации чрезвычайных ситуаций и обеспечению пожарной безопасности (далее - КЧС и ОПБ).</w:t>
      </w:r>
    </w:p>
    <w:p w14:paraId="17000000">
      <w:pPr>
        <w:pStyle w:val="Style_2"/>
        <w:spacing w:before="220"/>
        <w:ind w:firstLine="540"/>
        <w:jc w:val="both"/>
      </w:pPr>
      <w:r>
        <w:t xml:space="preserve">На </w:t>
      </w:r>
      <w:r>
        <w:t>Правительственную</w:t>
      </w:r>
      <w:r>
        <w:t xml:space="preserve"> КЧС и ОПБ возложена координация деятельности органов управления, сил и средств РСЧС на федеральном и межрегиональном уровне. В связи с этим, данная функция на межрегиональном уровне снимается с полномочного представителя Президента Российской Федерации.</w:t>
      </w:r>
    </w:p>
    <w:p w14:paraId="18000000">
      <w:pPr>
        <w:pStyle w:val="Style_2"/>
        <w:spacing w:before="220"/>
        <w:ind w:firstLine="540"/>
        <w:jc w:val="both"/>
      </w:pPr>
      <w:r>
        <w:t>Также включены положения по возложению функций председателей КЧС и ОПБ федеральных органов исполнительной власти и государственных корпораций на руководителей этих органов и корпораций или их заместителей.</w:t>
      </w:r>
    </w:p>
    <w:p w14:paraId="19000000">
      <w:pPr>
        <w:pStyle w:val="Style_2"/>
        <w:spacing w:before="220"/>
        <w:ind w:firstLine="540"/>
        <w:jc w:val="both"/>
      </w:pPr>
      <w:r>
        <w:t>При этом функции председателей КЧС и ОПБ органов исполнительной власти субъектов Российской Федерации и органов местного самоуправления возлагаются соответственно на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глав местных администраций.</w:t>
      </w:r>
    </w:p>
    <w:p w14:paraId="1A000000">
      <w:pPr>
        <w:pStyle w:val="Style_2"/>
        <w:spacing w:before="220"/>
        <w:ind w:firstLine="540"/>
        <w:jc w:val="both"/>
      </w:pPr>
      <w:r>
        <w:t>Руководители организаций или их заместители возглавляют КЧС и ОПБ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14:paraId="1B000000">
      <w:pPr>
        <w:pStyle w:val="Style_2"/>
        <w:spacing w:before="220"/>
        <w:ind w:firstLine="540"/>
        <w:jc w:val="both"/>
      </w:pPr>
      <w:r>
        <w:t>Также КЧС и ОПБ наделены полномочиями по координации деятельности органов управления и сил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на соответствующих уровнях.</w:t>
      </w:r>
    </w:p>
    <w:p w14:paraId="1C000000">
      <w:pPr>
        <w:pStyle w:val="Style_2"/>
        <w:spacing w:before="220"/>
        <w:ind w:firstLine="540"/>
        <w:jc w:val="both"/>
      </w:pPr>
      <w:r>
        <w:t>В целях создания четко выстроенной и законченной системы оперативного управления включены положения, изменяющие ранее созданную для обеспечения деятельности всех звеньев РСЧС систему органов повседневного управления на всех уровнях.</w:t>
      </w:r>
    </w:p>
    <w:p w14:paraId="1D000000">
      <w:pPr>
        <w:pStyle w:val="Style_2"/>
        <w:spacing w:before="220"/>
        <w:ind w:firstLine="540"/>
        <w:jc w:val="both"/>
      </w:pPr>
      <w:r>
        <w:t>Функция по обеспечению координации деятельности органов повседневного управления на муниципальном уровне возлагается на единые дежурно-диспетчерские службы муниципальных образований.</w:t>
      </w:r>
    </w:p>
    <w:p w14:paraId="1E000000">
      <w:pPr>
        <w:pStyle w:val="Style_2"/>
        <w:spacing w:before="220"/>
        <w:ind w:firstLine="540"/>
        <w:jc w:val="both"/>
      </w:pPr>
      <w:r>
        <w:t xml:space="preserve">Также указанное постановление привело </w:t>
      </w:r>
      <w:r>
        <w:t xml:space="preserve">в соответствии с действующим законодательством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"consultantplus://offline/ref=FE40933277E199F57D5AA3ABEF5E3B60175449721CEDB9AC8A8142FDABCDF26D15DFCF7340D679D6AAD21BFB4CCC1DF108E9BA0562CB6D99f1n8M"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подготовке населения в области защиты от чрезвычайных ситуаций</w:t>
      </w:r>
      <w:r>
        <w:t xml:space="preserve"> природного и техногенного характера, утвержденное постановлением Правительства Российской Федерации от 4 сентября 2003 г. N 547.</w:t>
      </w:r>
    </w:p>
    <w:p w14:paraId="1F000000">
      <w:pPr>
        <w:pStyle w:val="Style_2"/>
        <w:ind/>
        <w:jc w:val="both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onsPlusDocList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DocList"/>
    <w:link w:val="Style_4"/>
    <w:rPr>
      <w:rFonts w:ascii="Calibri" w:hAnsi="Calibri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onsPlusJurTerm"/>
    <w:link w:val="Style_10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10_ch" w:type="character">
    <w:name w:val="ConsPlusJurTerm"/>
    <w:link w:val="Style_10"/>
    <w:rPr>
      <w:rFonts w:ascii="Tahoma" w:hAnsi="Tahoma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TitlePage"/>
    <w:link w:val="Style_1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9_ch" w:type="character">
    <w:name w:val="ConsPlusTitlePage"/>
    <w:link w:val="Style_19"/>
    <w:rPr>
      <w:rFonts w:ascii="Tahoma" w:hAnsi="Tahoma"/>
      <w:sz w:val="20"/>
    </w:rPr>
  </w:style>
  <w:style w:styleId="Style_20" w:type="paragraph">
    <w:name w:val="ConsPlusTextList"/>
    <w:link w:val="Style_2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0_ch" w:type="character">
    <w:name w:val="ConsPlusTextList"/>
    <w:link w:val="Style_20"/>
    <w:rPr>
      <w:rFonts w:ascii="Arial" w:hAnsi="Arial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3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3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ConsPlusNonformat"/>
    <w:link w:val="Style_2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ConsPlusCell"/>
    <w:link w:val="Style_2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9_ch" w:type="character">
    <w:name w:val="ConsPlusCell"/>
    <w:link w:val="Style_29"/>
    <w:rPr>
      <w:rFonts w:ascii="Courier New" w:hAnsi="Courier New"/>
      <w:sz w:val="20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2022-10-05T07:51:04Z</dcterms:modified>
</cp:coreProperties>
</file>